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67E" w:rsidRDefault="0093367E">
      <w:pPr>
        <w:pStyle w:val="BodyText"/>
        <w:rPr>
          <w:rFonts w:ascii="Times New Roman"/>
          <w:sz w:val="20"/>
        </w:rPr>
      </w:pPr>
    </w:p>
    <w:p w:rsidR="0093367E" w:rsidRDefault="0093367E">
      <w:pPr>
        <w:pStyle w:val="BodyText"/>
        <w:rPr>
          <w:rFonts w:ascii="Times New Roman"/>
          <w:sz w:val="16"/>
        </w:rPr>
      </w:pPr>
    </w:p>
    <w:p w:rsidR="0093367E" w:rsidRDefault="0093367E">
      <w:pPr>
        <w:rPr>
          <w:rFonts w:ascii="Times New Roman"/>
          <w:sz w:val="16"/>
        </w:rPr>
        <w:sectPr w:rsidR="0093367E">
          <w:type w:val="continuous"/>
          <w:pgSz w:w="12240" w:h="15840"/>
          <w:pgMar w:top="740" w:right="1280" w:bottom="280" w:left="960" w:header="720" w:footer="720" w:gutter="0"/>
          <w:cols w:space="720"/>
        </w:sectPr>
      </w:pPr>
    </w:p>
    <w:p w:rsidR="0093367E" w:rsidRDefault="000B3CB4">
      <w:pPr>
        <w:pStyle w:val="Heading2"/>
      </w:pPr>
      <w:r>
        <w:t>Ron DeSantis</w:t>
      </w:r>
    </w:p>
    <w:p w:rsidR="0093367E" w:rsidRDefault="000B3CB4">
      <w:pPr>
        <w:spacing w:line="268" w:lineRule="exact"/>
        <w:ind w:left="112"/>
      </w:pPr>
      <w:r>
        <w:rPr>
          <w:color w:val="2D74B5"/>
        </w:rPr>
        <w:t>GOVERNOR</w:t>
      </w:r>
    </w:p>
    <w:p w:rsidR="0093367E" w:rsidRDefault="000B3CB4">
      <w:pPr>
        <w:pStyle w:val="BodyText"/>
        <w:rPr>
          <w:sz w:val="32"/>
        </w:rPr>
      </w:pPr>
      <w:r>
        <w:br w:type="column"/>
      </w:r>
    </w:p>
    <w:p w:rsidR="0093367E" w:rsidRDefault="0093367E">
      <w:pPr>
        <w:pStyle w:val="BodyText"/>
        <w:rPr>
          <w:sz w:val="32"/>
        </w:rPr>
      </w:pPr>
    </w:p>
    <w:p w:rsidR="0093367E" w:rsidRDefault="0093367E">
      <w:pPr>
        <w:pStyle w:val="BodyText"/>
        <w:spacing w:before="11"/>
        <w:rPr>
          <w:sz w:val="46"/>
        </w:rPr>
      </w:pPr>
    </w:p>
    <w:p w:rsidR="0093367E" w:rsidRDefault="000B3CB4">
      <w:pPr>
        <w:pStyle w:val="Heading1"/>
        <w:rPr>
          <w:u w:val="none"/>
        </w:rPr>
      </w:pPr>
      <w:r>
        <w:rPr>
          <w:noProof/>
        </w:rPr>
        <w:drawing>
          <wp:anchor distT="0" distB="0" distL="0" distR="0" simplePos="0" relativeHeight="251658240" behindDoc="0" locked="0" layoutInCell="1" allowOverlap="1">
            <wp:simplePos x="0" y="0"/>
            <wp:positionH relativeFrom="page">
              <wp:posOffset>2805548</wp:posOffset>
            </wp:positionH>
            <wp:positionV relativeFrom="paragraph">
              <wp:posOffset>-1126815</wp:posOffset>
            </wp:positionV>
            <wp:extent cx="1649598" cy="936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9598" cy="936625"/>
                    </a:xfrm>
                    <a:prstGeom prst="rect">
                      <a:avLst/>
                    </a:prstGeom>
                  </pic:spPr>
                </pic:pic>
              </a:graphicData>
            </a:graphic>
          </wp:anchor>
        </w:drawing>
      </w:r>
      <w:r>
        <w:rPr>
          <w:u w:val="thick"/>
        </w:rPr>
        <w:t>MEETING NOTICE AND AGENDA</w:t>
      </w:r>
    </w:p>
    <w:p w:rsidR="0093367E" w:rsidRDefault="000B3CB4">
      <w:pPr>
        <w:pStyle w:val="Heading3"/>
        <w:ind w:left="831" w:right="730" w:hanging="5"/>
        <w:jc w:val="center"/>
      </w:pPr>
      <w:r>
        <w:t>Pre-Application Conference Request for Application 2</w:t>
      </w:r>
      <w:r w:rsidR="00C3740C">
        <w:t>1</w:t>
      </w:r>
      <w:bookmarkStart w:id="0" w:name="_GoBack"/>
      <w:bookmarkEnd w:id="0"/>
      <w:r>
        <w:t>-RFA 001</w:t>
      </w:r>
    </w:p>
    <w:p w:rsidR="0093367E" w:rsidRDefault="000B3CB4">
      <w:pPr>
        <w:spacing w:before="7"/>
        <w:ind w:left="91" w:right="19"/>
        <w:jc w:val="center"/>
        <w:rPr>
          <w:b/>
          <w:sz w:val="24"/>
        </w:rPr>
      </w:pPr>
      <w:r>
        <w:rPr>
          <w:b/>
          <w:sz w:val="24"/>
        </w:rPr>
        <w:t>Florida Defense Reinvestment Grant Program</w:t>
      </w:r>
    </w:p>
    <w:p w:rsidR="0093367E" w:rsidRDefault="000B3CB4">
      <w:pPr>
        <w:spacing w:before="89" w:line="322" w:lineRule="exact"/>
        <w:ind w:left="112"/>
        <w:rPr>
          <w:rFonts w:ascii="Times New Roman"/>
          <w:b/>
          <w:sz w:val="28"/>
        </w:rPr>
      </w:pPr>
      <w:r>
        <w:br w:type="column"/>
      </w:r>
      <w:r>
        <w:rPr>
          <w:rFonts w:ascii="Times New Roman"/>
          <w:b/>
          <w:sz w:val="28"/>
        </w:rPr>
        <w:t>Ken Lawson</w:t>
      </w:r>
    </w:p>
    <w:p w:rsidR="0093367E" w:rsidRDefault="000B3CB4">
      <w:pPr>
        <w:spacing w:line="268" w:lineRule="exact"/>
        <w:ind w:left="112"/>
      </w:pPr>
      <w:r>
        <w:rPr>
          <w:color w:val="2D74B5"/>
        </w:rPr>
        <w:t>EXECUTIVE DIRECTOR</w:t>
      </w:r>
    </w:p>
    <w:p w:rsidR="0093367E" w:rsidRDefault="0093367E">
      <w:pPr>
        <w:spacing w:line="268" w:lineRule="exact"/>
        <w:sectPr w:rsidR="0093367E">
          <w:type w:val="continuous"/>
          <w:pgSz w:w="12240" w:h="15840"/>
          <w:pgMar w:top="740" w:right="1280" w:bottom="280" w:left="960" w:header="720" w:footer="720" w:gutter="0"/>
          <w:cols w:num="3" w:space="720" w:equalWidth="0">
            <w:col w:w="1779" w:space="994"/>
            <w:col w:w="4681" w:space="386"/>
            <w:col w:w="2160"/>
          </w:cols>
        </w:sectPr>
      </w:pPr>
    </w:p>
    <w:p w:rsidR="0093367E" w:rsidRDefault="0093367E">
      <w:pPr>
        <w:pStyle w:val="BodyText"/>
        <w:spacing w:before="4"/>
        <w:rPr>
          <w:sz w:val="19"/>
        </w:rPr>
      </w:pPr>
    </w:p>
    <w:p w:rsidR="0093367E" w:rsidRDefault="000B3CB4">
      <w:pPr>
        <w:pStyle w:val="Heading3"/>
        <w:spacing w:before="52"/>
        <w:rPr>
          <w:b w:val="0"/>
        </w:rPr>
      </w:pPr>
      <w:r>
        <w:t>Meeting Time</w:t>
      </w:r>
      <w:r>
        <w:rPr>
          <w:b w:val="0"/>
        </w:rPr>
        <w:t>:</w:t>
      </w:r>
    </w:p>
    <w:p w:rsidR="0093367E" w:rsidRDefault="000B3CB4" w:rsidP="000B3CB4">
      <w:pPr>
        <w:pStyle w:val="BodyText"/>
        <w:ind w:left="581"/>
        <w:jc w:val="both"/>
      </w:pPr>
      <w:r>
        <w:t>Thursday, February 27, 2020</w:t>
      </w:r>
      <w:r w:rsidRPr="00E15B1B">
        <w:t>, 10:00 AM</w:t>
      </w:r>
    </w:p>
    <w:p w:rsidR="000B3CB4" w:rsidRDefault="000B3CB4" w:rsidP="000B3CB4">
      <w:pPr>
        <w:pStyle w:val="BodyText"/>
        <w:ind w:left="581"/>
        <w:jc w:val="both"/>
      </w:pPr>
    </w:p>
    <w:p w:rsidR="0093367E" w:rsidRDefault="000B3CB4">
      <w:pPr>
        <w:pStyle w:val="Heading3"/>
        <w:rPr>
          <w:b w:val="0"/>
        </w:rPr>
      </w:pPr>
      <w:r>
        <w:t>Teleconference Information</w:t>
      </w:r>
      <w:r>
        <w:rPr>
          <w:b w:val="0"/>
        </w:rPr>
        <w:t>:</w:t>
      </w:r>
    </w:p>
    <w:p w:rsidR="0093367E" w:rsidRDefault="000B3CB4">
      <w:pPr>
        <w:pStyle w:val="BodyText"/>
        <w:ind w:left="581"/>
        <w:jc w:val="both"/>
      </w:pPr>
      <w:r>
        <w:t>Toll Free Call-in Number: (888) 585-9008</w:t>
      </w:r>
    </w:p>
    <w:p w:rsidR="0093367E" w:rsidRDefault="000B3CB4">
      <w:pPr>
        <w:pStyle w:val="BodyText"/>
        <w:ind w:left="581"/>
        <w:jc w:val="both"/>
      </w:pPr>
      <w:r>
        <w:t>Participant Code: 746162473</w:t>
      </w:r>
    </w:p>
    <w:p w:rsidR="0093367E" w:rsidRDefault="0093367E">
      <w:pPr>
        <w:pStyle w:val="BodyText"/>
        <w:spacing w:before="11"/>
        <w:rPr>
          <w:sz w:val="23"/>
        </w:rPr>
      </w:pPr>
    </w:p>
    <w:p w:rsidR="0093367E" w:rsidRDefault="000B3CB4">
      <w:pPr>
        <w:pStyle w:val="Heading3"/>
        <w:spacing w:before="1"/>
        <w:rPr>
          <w:b w:val="0"/>
        </w:rPr>
      </w:pPr>
      <w:r>
        <w:t>Purpose of Meeting</w:t>
      </w:r>
      <w:r>
        <w:rPr>
          <w:b w:val="0"/>
        </w:rPr>
        <w:t>:</w:t>
      </w:r>
    </w:p>
    <w:p w:rsidR="0093367E" w:rsidRDefault="000B3CB4">
      <w:pPr>
        <w:pStyle w:val="BodyText"/>
        <w:ind w:left="581" w:right="279"/>
        <w:jc w:val="both"/>
      </w:pPr>
      <w:r>
        <w:t>The purpose of this meeting is for the Department of Economic Opportunity (DEO) to provide Prospective Applicants with an overview of the Florida Defense Reinvestment Grant (DRG) Program Request for Application (RFA) and the process for submitting replies to the RFA.</w:t>
      </w:r>
    </w:p>
    <w:p w:rsidR="0093367E" w:rsidRDefault="0093367E">
      <w:pPr>
        <w:pStyle w:val="BodyText"/>
        <w:spacing w:before="11"/>
        <w:rPr>
          <w:sz w:val="23"/>
        </w:rPr>
      </w:pPr>
    </w:p>
    <w:p w:rsidR="0093367E" w:rsidRDefault="000B3CB4">
      <w:pPr>
        <w:pStyle w:val="Heading1"/>
        <w:spacing w:before="1"/>
        <w:ind w:left="642" w:right="345"/>
        <w:jc w:val="center"/>
        <w:rPr>
          <w:u w:val="none"/>
        </w:rPr>
      </w:pPr>
      <w:r>
        <w:rPr>
          <w:u w:val="thick"/>
        </w:rPr>
        <w:t>MEETING AGENDA</w:t>
      </w:r>
    </w:p>
    <w:p w:rsidR="0093367E" w:rsidRDefault="0093367E">
      <w:pPr>
        <w:pStyle w:val="BodyText"/>
        <w:spacing w:before="5"/>
        <w:rPr>
          <w:b/>
          <w:sz w:val="15"/>
        </w:rPr>
      </w:pPr>
    </w:p>
    <w:p w:rsidR="0093367E" w:rsidRDefault="000B3CB4">
      <w:pPr>
        <w:pStyle w:val="ListParagraph"/>
        <w:numPr>
          <w:ilvl w:val="0"/>
          <w:numId w:val="1"/>
        </w:numPr>
        <w:tabs>
          <w:tab w:val="left" w:pos="1661"/>
          <w:tab w:val="left" w:pos="1662"/>
        </w:tabs>
        <w:spacing w:before="51"/>
        <w:rPr>
          <w:sz w:val="24"/>
        </w:rPr>
      </w:pPr>
      <w:r>
        <w:rPr>
          <w:sz w:val="24"/>
        </w:rPr>
        <w:t>Welcome and</w:t>
      </w:r>
      <w:r>
        <w:rPr>
          <w:spacing w:val="-2"/>
          <w:sz w:val="24"/>
        </w:rPr>
        <w:t xml:space="preserve"> </w:t>
      </w:r>
      <w:r>
        <w:rPr>
          <w:sz w:val="24"/>
        </w:rPr>
        <w:t>Introductions</w:t>
      </w:r>
    </w:p>
    <w:p w:rsidR="0093367E" w:rsidRDefault="000B3CB4">
      <w:pPr>
        <w:pStyle w:val="ListParagraph"/>
        <w:numPr>
          <w:ilvl w:val="0"/>
          <w:numId w:val="1"/>
        </w:numPr>
        <w:tabs>
          <w:tab w:val="left" w:pos="1661"/>
          <w:tab w:val="left" w:pos="1662"/>
        </w:tabs>
        <w:spacing w:before="1"/>
        <w:rPr>
          <w:sz w:val="24"/>
        </w:rPr>
      </w:pPr>
      <w:r>
        <w:rPr>
          <w:sz w:val="24"/>
        </w:rPr>
        <w:t>Overview of the RFA Process and</w:t>
      </w:r>
      <w:r>
        <w:rPr>
          <w:spacing w:val="-5"/>
          <w:sz w:val="24"/>
        </w:rPr>
        <w:t xml:space="preserve"> </w:t>
      </w:r>
      <w:r>
        <w:rPr>
          <w:sz w:val="24"/>
        </w:rPr>
        <w:t>Schedule</w:t>
      </w:r>
    </w:p>
    <w:p w:rsidR="0093367E" w:rsidRDefault="000B3CB4">
      <w:pPr>
        <w:pStyle w:val="ListParagraph"/>
        <w:numPr>
          <w:ilvl w:val="0"/>
          <w:numId w:val="1"/>
        </w:numPr>
        <w:tabs>
          <w:tab w:val="left" w:pos="1661"/>
          <w:tab w:val="left" w:pos="1662"/>
        </w:tabs>
        <w:spacing w:before="2"/>
        <w:rPr>
          <w:sz w:val="24"/>
        </w:rPr>
      </w:pPr>
      <w:r>
        <w:rPr>
          <w:sz w:val="24"/>
        </w:rPr>
        <w:t>Overview of the Florida Defense Infrastructure Grant</w:t>
      </w:r>
      <w:r>
        <w:rPr>
          <w:spacing w:val="-7"/>
          <w:sz w:val="24"/>
        </w:rPr>
        <w:t xml:space="preserve"> </w:t>
      </w:r>
      <w:r>
        <w:rPr>
          <w:sz w:val="24"/>
        </w:rPr>
        <w:t>Program</w:t>
      </w:r>
    </w:p>
    <w:p w:rsidR="0093367E" w:rsidRDefault="000B3CB4">
      <w:pPr>
        <w:pStyle w:val="ListParagraph"/>
        <w:numPr>
          <w:ilvl w:val="0"/>
          <w:numId w:val="1"/>
        </w:numPr>
        <w:tabs>
          <w:tab w:val="left" w:pos="1661"/>
          <w:tab w:val="left" w:pos="1662"/>
        </w:tabs>
        <w:rPr>
          <w:sz w:val="24"/>
        </w:rPr>
      </w:pPr>
      <w:r>
        <w:rPr>
          <w:sz w:val="24"/>
        </w:rPr>
        <w:t>Questions and</w:t>
      </w:r>
      <w:r>
        <w:rPr>
          <w:spacing w:val="-3"/>
          <w:sz w:val="24"/>
        </w:rPr>
        <w:t xml:space="preserve"> </w:t>
      </w:r>
      <w:r>
        <w:rPr>
          <w:sz w:val="24"/>
        </w:rPr>
        <w:t>Answers</w:t>
      </w:r>
    </w:p>
    <w:p w:rsidR="0093367E" w:rsidRDefault="000B3CB4">
      <w:pPr>
        <w:pStyle w:val="ListParagraph"/>
        <w:numPr>
          <w:ilvl w:val="0"/>
          <w:numId w:val="1"/>
        </w:numPr>
        <w:tabs>
          <w:tab w:val="left" w:pos="1661"/>
          <w:tab w:val="left" w:pos="1662"/>
        </w:tabs>
        <w:rPr>
          <w:sz w:val="24"/>
        </w:rPr>
      </w:pPr>
      <w:r>
        <w:rPr>
          <w:sz w:val="24"/>
        </w:rPr>
        <w:t>Wrap-up</w:t>
      </w:r>
    </w:p>
    <w:p w:rsidR="0093367E" w:rsidRDefault="0093367E">
      <w:pPr>
        <w:pStyle w:val="BodyText"/>
      </w:pPr>
    </w:p>
    <w:p w:rsidR="0093367E" w:rsidRDefault="0093367E">
      <w:pPr>
        <w:pStyle w:val="BodyText"/>
        <w:spacing w:before="5"/>
        <w:rPr>
          <w:sz w:val="19"/>
        </w:rPr>
      </w:pPr>
    </w:p>
    <w:p w:rsidR="0093367E" w:rsidRDefault="000B3CB4">
      <w:pPr>
        <w:pStyle w:val="Heading3"/>
        <w:rPr>
          <w:b w:val="0"/>
          <w:sz w:val="22"/>
        </w:rPr>
      </w:pPr>
      <w:r>
        <w:t>Additional Instructions</w:t>
      </w:r>
      <w:r>
        <w:rPr>
          <w:b w:val="0"/>
          <w:sz w:val="22"/>
        </w:rPr>
        <w:t>:</w:t>
      </w:r>
    </w:p>
    <w:p w:rsidR="0093367E" w:rsidRDefault="000B3CB4">
      <w:pPr>
        <w:pStyle w:val="BodyText"/>
        <w:spacing w:before="2"/>
        <w:ind w:left="581" w:right="271"/>
        <w:jc w:val="both"/>
      </w:pPr>
      <w:r>
        <w:t>During</w:t>
      </w:r>
      <w:r>
        <w:rPr>
          <w:spacing w:val="-13"/>
        </w:rPr>
        <w:t xml:space="preserve"> </w:t>
      </w:r>
      <w:r>
        <w:t>the</w:t>
      </w:r>
      <w:r>
        <w:rPr>
          <w:spacing w:val="-13"/>
        </w:rPr>
        <w:t xml:space="preserve"> </w:t>
      </w:r>
      <w:r>
        <w:t>conference,</w:t>
      </w:r>
      <w:r>
        <w:rPr>
          <w:spacing w:val="-13"/>
        </w:rPr>
        <w:t xml:space="preserve"> </w:t>
      </w:r>
      <w:r>
        <w:t>prospective</w:t>
      </w:r>
      <w:r>
        <w:rPr>
          <w:spacing w:val="-13"/>
        </w:rPr>
        <w:t xml:space="preserve"> </w:t>
      </w:r>
      <w:r>
        <w:t>Applicants</w:t>
      </w:r>
      <w:r>
        <w:rPr>
          <w:spacing w:val="-13"/>
        </w:rPr>
        <w:t xml:space="preserve"> </w:t>
      </w:r>
      <w:r>
        <w:t>and</w:t>
      </w:r>
      <w:r>
        <w:rPr>
          <w:spacing w:val="-10"/>
        </w:rPr>
        <w:t xml:space="preserve"> </w:t>
      </w:r>
      <w:r>
        <w:t>interested</w:t>
      </w:r>
      <w:r>
        <w:rPr>
          <w:spacing w:val="-12"/>
        </w:rPr>
        <w:t xml:space="preserve"> </w:t>
      </w:r>
      <w:r>
        <w:t>parties</w:t>
      </w:r>
      <w:r>
        <w:rPr>
          <w:spacing w:val="-13"/>
        </w:rPr>
        <w:t xml:space="preserve"> </w:t>
      </w:r>
      <w:r>
        <w:t>will</w:t>
      </w:r>
      <w:r>
        <w:rPr>
          <w:spacing w:val="-13"/>
        </w:rPr>
        <w:t xml:space="preserve"> </w:t>
      </w:r>
      <w:r>
        <w:t>have</w:t>
      </w:r>
      <w:r>
        <w:rPr>
          <w:spacing w:val="-11"/>
        </w:rPr>
        <w:t xml:space="preserve"> </w:t>
      </w:r>
      <w:r>
        <w:t>the</w:t>
      </w:r>
      <w:r>
        <w:rPr>
          <w:spacing w:val="-13"/>
        </w:rPr>
        <w:t xml:space="preserve"> </w:t>
      </w:r>
      <w:r>
        <w:t xml:space="preserve">opportunity to present questions regarding this RFA and the Department will make a reasonable effort to provide answers at that time. However, any verbal answer or discussion provided during the conference is not binding on the Department. All questions presented during the conference </w:t>
      </w:r>
      <w:r>
        <w:rPr>
          <w:b/>
          <w:u w:val="single"/>
        </w:rPr>
        <w:t>must be followed by a written inquiry</w:t>
      </w:r>
      <w:r>
        <w:rPr>
          <w:b/>
        </w:rPr>
        <w:t xml:space="preserve"> </w:t>
      </w:r>
      <w:r>
        <w:t xml:space="preserve">in accordance with the time, date, and place specified in the RFA, </w:t>
      </w:r>
      <w:r>
        <w:rPr>
          <w:b/>
        </w:rPr>
        <w:t>Section B.7.,</w:t>
      </w:r>
      <w:r>
        <w:rPr>
          <w:b/>
          <w:spacing w:val="-4"/>
        </w:rPr>
        <w:t xml:space="preserve"> </w:t>
      </w:r>
      <w:r>
        <w:rPr>
          <w:b/>
        </w:rPr>
        <w:t>Questions</w:t>
      </w:r>
      <w:r>
        <w:t>.</w:t>
      </w:r>
    </w:p>
    <w:p w:rsidR="0093367E" w:rsidRDefault="000B3CB4">
      <w:pPr>
        <w:pStyle w:val="BodyText"/>
        <w:ind w:left="581" w:right="269"/>
        <w:jc w:val="both"/>
      </w:pPr>
      <w:r>
        <w:t xml:space="preserve">Responses to all written inquiries or clarifications made to the RFA will be posted on DEO’s website at </w:t>
      </w:r>
      <w:hyperlink r:id="rId6">
        <w:r>
          <w:rPr>
            <w:color w:val="0461C1"/>
            <w:u w:val="single" w:color="0461C1"/>
          </w:rPr>
          <w:t>www.FloridaJobs.org/Military-Community-Programs</w:t>
        </w:r>
      </w:hyperlink>
      <w:r>
        <w:t xml:space="preserve">, by the date specified in the RFA, </w:t>
      </w:r>
      <w:r>
        <w:rPr>
          <w:b/>
        </w:rPr>
        <w:t>Section B.5., Calendar of Events</w:t>
      </w:r>
      <w:r>
        <w:t>.</w:t>
      </w:r>
    </w:p>
    <w:p w:rsidR="0093367E" w:rsidRDefault="0093367E">
      <w:pPr>
        <w:pStyle w:val="BodyText"/>
        <w:spacing w:before="3"/>
        <w:rPr>
          <w:sz w:val="11"/>
        </w:rPr>
      </w:pPr>
    </w:p>
    <w:p w:rsidR="0093367E" w:rsidRDefault="000B3CB4">
      <w:pPr>
        <w:spacing w:before="94"/>
        <w:ind w:left="667" w:right="345"/>
        <w:jc w:val="center"/>
        <w:rPr>
          <w:rFonts w:ascii="Arial"/>
          <w:sz w:val="18"/>
        </w:rPr>
      </w:pPr>
      <w:r>
        <w:rPr>
          <w:rFonts w:ascii="Arial"/>
          <w:color w:val="1F4E79"/>
          <w:sz w:val="18"/>
        </w:rPr>
        <w:t xml:space="preserve">Florida Department of Economic Opportunity | Caldwell Building | 107 E. Madison Street | Tallahassee, FL 32399 850.245.7105 | </w:t>
      </w:r>
      <w:hyperlink r:id="rId7">
        <w:r>
          <w:rPr>
            <w:rFonts w:ascii="Arial"/>
            <w:color w:val="0462C1"/>
            <w:sz w:val="18"/>
            <w:u w:val="single" w:color="0462C1"/>
          </w:rPr>
          <w:t>www.FloridaJobs.org</w:t>
        </w:r>
      </w:hyperlink>
    </w:p>
    <w:p w:rsidR="0093367E" w:rsidRDefault="00C3740C">
      <w:pPr>
        <w:spacing w:before="2"/>
        <w:ind w:left="3025"/>
        <w:rPr>
          <w:rFonts w:ascii="Arial"/>
          <w:sz w:val="18"/>
        </w:rPr>
      </w:pPr>
      <w:hyperlink r:id="rId8">
        <w:r w:rsidR="000B3CB4">
          <w:rPr>
            <w:rFonts w:ascii="Arial"/>
            <w:color w:val="1F4E79"/>
            <w:sz w:val="18"/>
          </w:rPr>
          <w:t xml:space="preserve">www.twitter.com/FLDEO </w:t>
        </w:r>
      </w:hyperlink>
      <w:r w:rsidR="000B3CB4">
        <w:rPr>
          <w:rFonts w:ascii="Arial"/>
          <w:color w:val="1F4E79"/>
          <w:sz w:val="18"/>
        </w:rPr>
        <w:t>|</w:t>
      </w:r>
      <w:hyperlink r:id="rId9">
        <w:r w:rsidR="000B3CB4">
          <w:rPr>
            <w:rFonts w:ascii="Arial"/>
            <w:color w:val="1F4E79"/>
            <w:sz w:val="18"/>
          </w:rPr>
          <w:t>www.facebook.com/FLDEO</w:t>
        </w:r>
      </w:hyperlink>
    </w:p>
    <w:p w:rsidR="0093367E" w:rsidRDefault="0093367E">
      <w:pPr>
        <w:pStyle w:val="BodyText"/>
        <w:spacing w:before="10"/>
        <w:rPr>
          <w:rFonts w:ascii="Arial"/>
          <w:sz w:val="17"/>
        </w:rPr>
      </w:pPr>
    </w:p>
    <w:p w:rsidR="0093367E" w:rsidRDefault="000B3CB4">
      <w:pPr>
        <w:ind w:left="494" w:right="183" w:firstLine="2"/>
        <w:jc w:val="center"/>
        <w:rPr>
          <w:rFonts w:ascii="Arial"/>
          <w:sz w:val="18"/>
        </w:rPr>
      </w:pPr>
      <w:r>
        <w:rPr>
          <w:rFonts w:ascii="Arial"/>
          <w:color w:val="1F4E79"/>
          <w:sz w:val="18"/>
        </w:rPr>
        <w:t>An equal opportunity employer/program. Auxiliary aids and service are available upon request to individuals with disabilities.</w:t>
      </w:r>
      <w:r>
        <w:rPr>
          <w:rFonts w:ascii="Arial"/>
          <w:color w:val="1F4E79"/>
          <w:spacing w:val="-3"/>
          <w:sz w:val="18"/>
        </w:rPr>
        <w:t xml:space="preserve"> </w:t>
      </w:r>
      <w:r>
        <w:rPr>
          <w:rFonts w:ascii="Arial"/>
          <w:color w:val="1F4E79"/>
          <w:sz w:val="18"/>
        </w:rPr>
        <w:t>All</w:t>
      </w:r>
      <w:r>
        <w:rPr>
          <w:rFonts w:ascii="Arial"/>
          <w:color w:val="1F4E79"/>
          <w:spacing w:val="-3"/>
          <w:sz w:val="18"/>
        </w:rPr>
        <w:t xml:space="preserve"> </w:t>
      </w:r>
      <w:r>
        <w:rPr>
          <w:rFonts w:ascii="Arial"/>
          <w:color w:val="1F4E79"/>
          <w:sz w:val="18"/>
        </w:rPr>
        <w:t>voice</w:t>
      </w:r>
      <w:r>
        <w:rPr>
          <w:rFonts w:ascii="Arial"/>
          <w:color w:val="1F4E79"/>
          <w:spacing w:val="-3"/>
          <w:sz w:val="18"/>
        </w:rPr>
        <w:t xml:space="preserve"> </w:t>
      </w:r>
      <w:r>
        <w:rPr>
          <w:rFonts w:ascii="Arial"/>
          <w:color w:val="1F4E79"/>
          <w:sz w:val="18"/>
        </w:rPr>
        <w:t>telephone</w:t>
      </w:r>
      <w:r>
        <w:rPr>
          <w:rFonts w:ascii="Arial"/>
          <w:color w:val="1F4E79"/>
          <w:spacing w:val="-5"/>
          <w:sz w:val="18"/>
        </w:rPr>
        <w:t xml:space="preserve"> </w:t>
      </w:r>
      <w:r>
        <w:rPr>
          <w:rFonts w:ascii="Arial"/>
          <w:color w:val="1F4E79"/>
          <w:sz w:val="18"/>
        </w:rPr>
        <w:t>numbers</w:t>
      </w:r>
      <w:r>
        <w:rPr>
          <w:rFonts w:ascii="Arial"/>
          <w:color w:val="1F4E79"/>
          <w:spacing w:val="-5"/>
          <w:sz w:val="18"/>
        </w:rPr>
        <w:t xml:space="preserve"> </w:t>
      </w:r>
      <w:r>
        <w:rPr>
          <w:rFonts w:ascii="Arial"/>
          <w:color w:val="1F4E79"/>
          <w:sz w:val="18"/>
        </w:rPr>
        <w:t>on</w:t>
      </w:r>
      <w:r>
        <w:rPr>
          <w:rFonts w:ascii="Arial"/>
          <w:color w:val="1F4E79"/>
          <w:spacing w:val="-3"/>
          <w:sz w:val="18"/>
        </w:rPr>
        <w:t xml:space="preserve"> </w:t>
      </w:r>
      <w:r>
        <w:rPr>
          <w:rFonts w:ascii="Arial"/>
          <w:color w:val="1F4E79"/>
          <w:sz w:val="18"/>
        </w:rPr>
        <w:t>this</w:t>
      </w:r>
      <w:r>
        <w:rPr>
          <w:rFonts w:ascii="Arial"/>
          <w:color w:val="1F4E79"/>
          <w:spacing w:val="-2"/>
          <w:sz w:val="18"/>
        </w:rPr>
        <w:t xml:space="preserve"> </w:t>
      </w:r>
      <w:r>
        <w:rPr>
          <w:rFonts w:ascii="Arial"/>
          <w:color w:val="1F4E79"/>
          <w:sz w:val="18"/>
        </w:rPr>
        <w:t>document</w:t>
      </w:r>
      <w:r>
        <w:rPr>
          <w:rFonts w:ascii="Arial"/>
          <w:color w:val="1F4E79"/>
          <w:spacing w:val="-5"/>
          <w:sz w:val="18"/>
        </w:rPr>
        <w:t xml:space="preserve"> </w:t>
      </w:r>
      <w:r>
        <w:rPr>
          <w:rFonts w:ascii="Arial"/>
          <w:color w:val="1F4E79"/>
          <w:sz w:val="18"/>
        </w:rPr>
        <w:t>may</w:t>
      </w:r>
      <w:r>
        <w:rPr>
          <w:rFonts w:ascii="Arial"/>
          <w:color w:val="1F4E79"/>
          <w:spacing w:val="-5"/>
          <w:sz w:val="18"/>
        </w:rPr>
        <w:t xml:space="preserve"> </w:t>
      </w:r>
      <w:r>
        <w:rPr>
          <w:rFonts w:ascii="Arial"/>
          <w:color w:val="1F4E79"/>
          <w:sz w:val="18"/>
        </w:rPr>
        <w:t>be</w:t>
      </w:r>
      <w:r>
        <w:rPr>
          <w:rFonts w:ascii="Arial"/>
          <w:color w:val="1F4E79"/>
          <w:spacing w:val="-3"/>
          <w:sz w:val="18"/>
        </w:rPr>
        <w:t xml:space="preserve"> </w:t>
      </w:r>
      <w:r>
        <w:rPr>
          <w:rFonts w:ascii="Arial"/>
          <w:color w:val="1F4E79"/>
          <w:sz w:val="18"/>
        </w:rPr>
        <w:t>reached</w:t>
      </w:r>
      <w:r>
        <w:rPr>
          <w:rFonts w:ascii="Arial"/>
          <w:color w:val="1F4E79"/>
          <w:spacing w:val="-3"/>
          <w:sz w:val="18"/>
        </w:rPr>
        <w:t xml:space="preserve"> </w:t>
      </w:r>
      <w:r>
        <w:rPr>
          <w:rFonts w:ascii="Arial"/>
          <w:color w:val="1F4E79"/>
          <w:sz w:val="18"/>
        </w:rPr>
        <w:t>by</w:t>
      </w:r>
      <w:r>
        <w:rPr>
          <w:rFonts w:ascii="Arial"/>
          <w:color w:val="1F4E79"/>
          <w:spacing w:val="-5"/>
          <w:sz w:val="18"/>
        </w:rPr>
        <w:t xml:space="preserve"> </w:t>
      </w:r>
      <w:r>
        <w:rPr>
          <w:rFonts w:ascii="Arial"/>
          <w:color w:val="1F4E79"/>
          <w:sz w:val="18"/>
        </w:rPr>
        <w:t>persons</w:t>
      </w:r>
      <w:r>
        <w:rPr>
          <w:rFonts w:ascii="Arial"/>
          <w:color w:val="1F4E79"/>
          <w:spacing w:val="-2"/>
          <w:sz w:val="18"/>
        </w:rPr>
        <w:t xml:space="preserve"> </w:t>
      </w:r>
      <w:r>
        <w:rPr>
          <w:rFonts w:ascii="Arial"/>
          <w:color w:val="1F4E79"/>
          <w:sz w:val="18"/>
        </w:rPr>
        <w:t>using</w:t>
      </w:r>
      <w:r>
        <w:rPr>
          <w:rFonts w:ascii="Arial"/>
          <w:color w:val="1F4E79"/>
          <w:spacing w:val="-3"/>
          <w:sz w:val="18"/>
        </w:rPr>
        <w:t xml:space="preserve"> </w:t>
      </w:r>
      <w:r>
        <w:rPr>
          <w:rFonts w:ascii="Arial"/>
          <w:color w:val="1F4E79"/>
          <w:sz w:val="18"/>
        </w:rPr>
        <w:t>TTY/TTD</w:t>
      </w:r>
      <w:r>
        <w:rPr>
          <w:rFonts w:ascii="Arial"/>
          <w:color w:val="1F4E79"/>
          <w:spacing w:val="-3"/>
          <w:sz w:val="18"/>
        </w:rPr>
        <w:t xml:space="preserve"> </w:t>
      </w:r>
      <w:r>
        <w:rPr>
          <w:rFonts w:ascii="Arial"/>
          <w:color w:val="1F4E79"/>
          <w:sz w:val="18"/>
        </w:rPr>
        <w:t>equipment</w:t>
      </w:r>
      <w:r>
        <w:rPr>
          <w:rFonts w:ascii="Arial"/>
          <w:color w:val="1F4E79"/>
          <w:spacing w:val="-3"/>
          <w:sz w:val="18"/>
        </w:rPr>
        <w:t xml:space="preserve"> </w:t>
      </w:r>
      <w:r>
        <w:rPr>
          <w:rFonts w:ascii="Arial"/>
          <w:color w:val="1F4E79"/>
          <w:sz w:val="18"/>
        </w:rPr>
        <w:t>via the Florida Relay Service at</w:t>
      </w:r>
      <w:r>
        <w:rPr>
          <w:rFonts w:ascii="Arial"/>
          <w:color w:val="1F4E79"/>
          <w:spacing w:val="-5"/>
          <w:sz w:val="18"/>
        </w:rPr>
        <w:t xml:space="preserve"> </w:t>
      </w:r>
      <w:r>
        <w:rPr>
          <w:rFonts w:ascii="Arial"/>
          <w:color w:val="1F4E79"/>
          <w:sz w:val="18"/>
        </w:rPr>
        <w:t>711.</w:t>
      </w:r>
    </w:p>
    <w:sectPr w:rsidR="0093367E">
      <w:type w:val="continuous"/>
      <w:pgSz w:w="12240" w:h="15840"/>
      <w:pgMar w:top="740" w:right="1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B4BFD"/>
    <w:multiLevelType w:val="hybridMultilevel"/>
    <w:tmpl w:val="C15A3A00"/>
    <w:lvl w:ilvl="0" w:tplc="8F9CD290">
      <w:start w:val="1"/>
      <w:numFmt w:val="upperRoman"/>
      <w:lvlText w:val="%1."/>
      <w:lvlJc w:val="left"/>
      <w:pPr>
        <w:ind w:left="1661" w:hanging="720"/>
        <w:jc w:val="left"/>
      </w:pPr>
      <w:rPr>
        <w:rFonts w:ascii="Calibri" w:eastAsia="Calibri" w:hAnsi="Calibri" w:cs="Calibri" w:hint="default"/>
        <w:spacing w:val="-3"/>
        <w:w w:val="100"/>
        <w:sz w:val="24"/>
        <w:szCs w:val="24"/>
        <w:lang w:val="en-US" w:eastAsia="en-US" w:bidi="en-US"/>
      </w:rPr>
    </w:lvl>
    <w:lvl w:ilvl="1" w:tplc="6FB88266">
      <w:numFmt w:val="bullet"/>
      <w:lvlText w:val="•"/>
      <w:lvlJc w:val="left"/>
      <w:pPr>
        <w:ind w:left="2494" w:hanging="720"/>
      </w:pPr>
      <w:rPr>
        <w:rFonts w:hint="default"/>
        <w:lang w:val="en-US" w:eastAsia="en-US" w:bidi="en-US"/>
      </w:rPr>
    </w:lvl>
    <w:lvl w:ilvl="2" w:tplc="E73EDE94">
      <w:numFmt w:val="bullet"/>
      <w:lvlText w:val="•"/>
      <w:lvlJc w:val="left"/>
      <w:pPr>
        <w:ind w:left="3328" w:hanging="720"/>
      </w:pPr>
      <w:rPr>
        <w:rFonts w:hint="default"/>
        <w:lang w:val="en-US" w:eastAsia="en-US" w:bidi="en-US"/>
      </w:rPr>
    </w:lvl>
    <w:lvl w:ilvl="3" w:tplc="6098163A">
      <w:numFmt w:val="bullet"/>
      <w:lvlText w:val="•"/>
      <w:lvlJc w:val="left"/>
      <w:pPr>
        <w:ind w:left="4162" w:hanging="720"/>
      </w:pPr>
      <w:rPr>
        <w:rFonts w:hint="default"/>
        <w:lang w:val="en-US" w:eastAsia="en-US" w:bidi="en-US"/>
      </w:rPr>
    </w:lvl>
    <w:lvl w:ilvl="4" w:tplc="100E456A">
      <w:numFmt w:val="bullet"/>
      <w:lvlText w:val="•"/>
      <w:lvlJc w:val="left"/>
      <w:pPr>
        <w:ind w:left="4996" w:hanging="720"/>
      </w:pPr>
      <w:rPr>
        <w:rFonts w:hint="default"/>
        <w:lang w:val="en-US" w:eastAsia="en-US" w:bidi="en-US"/>
      </w:rPr>
    </w:lvl>
    <w:lvl w:ilvl="5" w:tplc="47804DEE">
      <w:numFmt w:val="bullet"/>
      <w:lvlText w:val="•"/>
      <w:lvlJc w:val="left"/>
      <w:pPr>
        <w:ind w:left="5830" w:hanging="720"/>
      </w:pPr>
      <w:rPr>
        <w:rFonts w:hint="default"/>
        <w:lang w:val="en-US" w:eastAsia="en-US" w:bidi="en-US"/>
      </w:rPr>
    </w:lvl>
    <w:lvl w:ilvl="6" w:tplc="0B3C6730">
      <w:numFmt w:val="bullet"/>
      <w:lvlText w:val="•"/>
      <w:lvlJc w:val="left"/>
      <w:pPr>
        <w:ind w:left="6664" w:hanging="720"/>
      </w:pPr>
      <w:rPr>
        <w:rFonts w:hint="default"/>
        <w:lang w:val="en-US" w:eastAsia="en-US" w:bidi="en-US"/>
      </w:rPr>
    </w:lvl>
    <w:lvl w:ilvl="7" w:tplc="06F66F42">
      <w:numFmt w:val="bullet"/>
      <w:lvlText w:val="•"/>
      <w:lvlJc w:val="left"/>
      <w:pPr>
        <w:ind w:left="7498" w:hanging="720"/>
      </w:pPr>
      <w:rPr>
        <w:rFonts w:hint="default"/>
        <w:lang w:val="en-US" w:eastAsia="en-US" w:bidi="en-US"/>
      </w:rPr>
    </w:lvl>
    <w:lvl w:ilvl="8" w:tplc="BC08F0B4">
      <w:numFmt w:val="bullet"/>
      <w:lvlText w:val="•"/>
      <w:lvlJc w:val="left"/>
      <w:pPr>
        <w:ind w:left="833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3367E"/>
    <w:rsid w:val="000B3CB4"/>
    <w:rsid w:val="0093367E"/>
    <w:rsid w:val="00C3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65E7"/>
  <w15:docId w15:val="{6434C56D-649B-4591-9CE6-371DA06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72"/>
      <w:outlineLvl w:val="0"/>
    </w:pPr>
    <w:rPr>
      <w:b/>
      <w:bCs/>
      <w:sz w:val="32"/>
      <w:szCs w:val="32"/>
      <w:u w:val="single" w:color="000000"/>
    </w:rPr>
  </w:style>
  <w:style w:type="paragraph" w:styleId="Heading2">
    <w:name w:val="heading 2"/>
    <w:basedOn w:val="Normal"/>
    <w:uiPriority w:val="1"/>
    <w:qFormat/>
    <w:pPr>
      <w:spacing w:before="89" w:line="322" w:lineRule="exact"/>
      <w:ind w:left="112"/>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58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witter.com/FLDEO" TargetMode="External"/><Relationship Id="rId3" Type="http://schemas.openxmlformats.org/officeDocument/2006/relationships/settings" Target="settings.xml"/><Relationship Id="rId7" Type="http://schemas.openxmlformats.org/officeDocument/2006/relationships/hyperlink" Target="http://www.floridajo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jobs.org/Military-Community-Program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FL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Office Word</Application>
  <DocSecurity>0</DocSecurity>
  <Lines>15</Lines>
  <Paragraphs>4</Paragraphs>
  <ScaleCrop>false</ScaleCrop>
  <Company>Department of Economic Opportunity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smithri</dc:creator>
  <cp:lastModifiedBy>Cooper, Gary</cp:lastModifiedBy>
  <cp:revision>3</cp:revision>
  <dcterms:created xsi:type="dcterms:W3CDTF">2020-02-19T18:21:00Z</dcterms:created>
  <dcterms:modified xsi:type="dcterms:W3CDTF">2020-02-19T20:33:00Z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2020-02-19T00:00:00Z</vt:filetime>
  </property>
</Properties>
</file>